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69" w:rsidRDefault="00143569">
      <w:pPr>
        <w:widowControl/>
        <w:tabs>
          <w:tab w:val="left" w:pos="7820"/>
        </w:tabs>
        <w:spacing w:line="560" w:lineRule="exact"/>
        <w:jc w:val="lef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  <w:r w:rsidR="004C3BA3">
        <w:rPr>
          <w:rFonts w:ascii="黑体" w:eastAsia="黑体" w:hint="eastAsia"/>
          <w:szCs w:val="32"/>
        </w:rPr>
        <w:t>4</w:t>
      </w:r>
    </w:p>
    <w:p w:rsidR="00143569" w:rsidRPr="00EA0AAE" w:rsidRDefault="00143569">
      <w:pPr>
        <w:widowControl/>
        <w:tabs>
          <w:tab w:val="left" w:pos="7820"/>
        </w:tabs>
        <w:spacing w:line="560" w:lineRule="exact"/>
        <w:jc w:val="left"/>
        <w:rPr>
          <w:rFonts w:ascii="方正小标宋简体" w:eastAsia="方正小标宋简体"/>
          <w:bCs/>
          <w:sz w:val="36"/>
          <w:szCs w:val="36"/>
        </w:rPr>
      </w:pPr>
    </w:p>
    <w:p w:rsidR="000A4EF4" w:rsidRDefault="00EA0AAE">
      <w:pPr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EA0AAE">
        <w:rPr>
          <w:rFonts w:ascii="方正小标宋简体" w:eastAsia="方正小标宋简体" w:hint="eastAsia"/>
          <w:bCs/>
          <w:sz w:val="36"/>
          <w:szCs w:val="36"/>
        </w:rPr>
        <w:t>滨州医学院“高等教育质量监测国家数据平台”</w:t>
      </w:r>
    </w:p>
    <w:p w:rsidR="00143569" w:rsidRPr="000665AD" w:rsidRDefault="00EA0AAE">
      <w:pPr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EA0AAE">
        <w:rPr>
          <w:rFonts w:ascii="方正小标宋简体" w:eastAsia="方正小标宋简体" w:hint="eastAsia"/>
          <w:bCs/>
          <w:sz w:val="36"/>
          <w:szCs w:val="36"/>
        </w:rPr>
        <w:t>202</w:t>
      </w:r>
      <w:r w:rsidR="005F215C">
        <w:rPr>
          <w:rFonts w:ascii="方正小标宋简体" w:eastAsia="方正小标宋简体" w:hint="eastAsia"/>
          <w:bCs/>
          <w:sz w:val="36"/>
          <w:szCs w:val="36"/>
        </w:rPr>
        <w:t>2</w:t>
      </w:r>
      <w:bookmarkStart w:id="0" w:name="_GoBack"/>
      <w:bookmarkEnd w:id="0"/>
      <w:r w:rsidRPr="00EA0AAE">
        <w:rPr>
          <w:rFonts w:ascii="方正小标宋简体" w:eastAsia="方正小标宋简体" w:hint="eastAsia"/>
          <w:bCs/>
          <w:sz w:val="36"/>
          <w:szCs w:val="36"/>
        </w:rPr>
        <w:t>年监测数据采集</w:t>
      </w:r>
      <w:r w:rsidR="00143569" w:rsidRPr="000665AD">
        <w:rPr>
          <w:rFonts w:ascii="方正小标宋简体" w:eastAsia="方正小标宋简体" w:hint="eastAsia"/>
          <w:bCs/>
          <w:sz w:val="36"/>
          <w:szCs w:val="36"/>
        </w:rPr>
        <w:t>质量监控表</w:t>
      </w:r>
    </w:p>
    <w:p w:rsidR="00143569" w:rsidRDefault="00143569">
      <w:pPr>
        <w:tabs>
          <w:tab w:val="left" w:pos="5535"/>
        </w:tabs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（责任单位用表）</w:t>
      </w:r>
    </w:p>
    <w:p w:rsidR="00CD39D7" w:rsidRDefault="00CD39D7">
      <w:pPr>
        <w:tabs>
          <w:tab w:val="left" w:pos="5535"/>
        </w:tabs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0"/>
        <w:gridCol w:w="3236"/>
        <w:gridCol w:w="2664"/>
      </w:tblGrid>
      <w:tr w:rsidR="00143569">
        <w:trPr>
          <w:trHeight w:val="736"/>
        </w:trPr>
        <w:tc>
          <w:tcPr>
            <w:tcW w:w="3160" w:type="dxa"/>
            <w:vAlign w:val="center"/>
          </w:tcPr>
          <w:p w:rsidR="00143569" w:rsidRDefault="00143569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数据表名称</w:t>
            </w:r>
          </w:p>
        </w:tc>
        <w:tc>
          <w:tcPr>
            <w:tcW w:w="5900" w:type="dxa"/>
            <w:gridSpan w:val="2"/>
            <w:vAlign w:val="center"/>
          </w:tcPr>
          <w:p w:rsidR="00143569" w:rsidRDefault="00143569">
            <w:pPr>
              <w:spacing w:line="400" w:lineRule="exact"/>
              <w:rPr>
                <w:rFonts w:ascii="仿宋_GB2312" w:hAnsi="宋体"/>
                <w:color w:val="FF0000"/>
                <w:sz w:val="24"/>
              </w:rPr>
            </w:pPr>
          </w:p>
        </w:tc>
      </w:tr>
      <w:tr w:rsidR="00143569">
        <w:trPr>
          <w:trHeight w:val="1099"/>
        </w:trPr>
        <w:tc>
          <w:tcPr>
            <w:tcW w:w="3160" w:type="dxa"/>
          </w:tcPr>
          <w:p w:rsidR="00CD39D7" w:rsidRDefault="00CD39D7">
            <w:pPr>
              <w:spacing w:line="400" w:lineRule="exact"/>
              <w:rPr>
                <w:rFonts w:ascii="仿宋_GB2312"/>
                <w:sz w:val="24"/>
              </w:rPr>
            </w:pPr>
          </w:p>
          <w:p w:rsidR="00143569" w:rsidRDefault="00143569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数据</w:t>
            </w:r>
            <w:r w:rsidR="0039237B">
              <w:rPr>
                <w:rFonts w:ascii="仿宋_GB2312" w:hint="eastAsia"/>
                <w:sz w:val="24"/>
              </w:rPr>
              <w:t>填报</w:t>
            </w:r>
            <w:r>
              <w:rPr>
                <w:rFonts w:ascii="仿宋_GB2312" w:hint="eastAsia"/>
                <w:sz w:val="24"/>
              </w:rPr>
              <w:t>人（签字）：</w:t>
            </w:r>
          </w:p>
          <w:p w:rsidR="00143569" w:rsidRDefault="0014356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3236" w:type="dxa"/>
          </w:tcPr>
          <w:p w:rsidR="00CD39D7" w:rsidRDefault="00CD39D7">
            <w:pPr>
              <w:spacing w:line="400" w:lineRule="exact"/>
              <w:rPr>
                <w:rFonts w:ascii="仿宋_GB2312"/>
                <w:sz w:val="24"/>
              </w:rPr>
            </w:pPr>
          </w:p>
          <w:p w:rsidR="00143569" w:rsidRDefault="00143569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说明：</w:t>
            </w:r>
          </w:p>
        </w:tc>
        <w:tc>
          <w:tcPr>
            <w:tcW w:w="2664" w:type="dxa"/>
          </w:tcPr>
          <w:p w:rsidR="00CD39D7" w:rsidRDefault="00CD39D7">
            <w:pPr>
              <w:spacing w:line="400" w:lineRule="exact"/>
              <w:rPr>
                <w:rFonts w:ascii="仿宋_GB2312"/>
                <w:sz w:val="24"/>
              </w:rPr>
            </w:pPr>
          </w:p>
          <w:p w:rsidR="00143569" w:rsidRDefault="00143569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完成时间：</w:t>
            </w:r>
          </w:p>
        </w:tc>
      </w:tr>
      <w:tr w:rsidR="00143569">
        <w:trPr>
          <w:trHeight w:val="1122"/>
        </w:trPr>
        <w:tc>
          <w:tcPr>
            <w:tcW w:w="3160" w:type="dxa"/>
          </w:tcPr>
          <w:p w:rsidR="00CD39D7" w:rsidRDefault="00CD39D7">
            <w:pPr>
              <w:spacing w:line="400" w:lineRule="exact"/>
              <w:rPr>
                <w:rFonts w:ascii="仿宋_GB2312"/>
                <w:sz w:val="24"/>
              </w:rPr>
            </w:pPr>
          </w:p>
          <w:p w:rsidR="00143569" w:rsidRDefault="0091216D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</w:t>
            </w:r>
            <w:r w:rsidR="00143569">
              <w:rPr>
                <w:rFonts w:ascii="仿宋_GB2312" w:hint="eastAsia"/>
                <w:sz w:val="24"/>
              </w:rPr>
              <w:t>负责人（签字）：</w:t>
            </w:r>
          </w:p>
          <w:p w:rsidR="00143569" w:rsidRDefault="0014356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3236" w:type="dxa"/>
          </w:tcPr>
          <w:p w:rsidR="00CD39D7" w:rsidRDefault="00CD39D7">
            <w:pPr>
              <w:spacing w:line="400" w:lineRule="exact"/>
              <w:rPr>
                <w:rFonts w:ascii="仿宋_GB2312"/>
                <w:sz w:val="24"/>
              </w:rPr>
            </w:pPr>
          </w:p>
          <w:p w:rsidR="00143569" w:rsidRDefault="00143569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意见：</w:t>
            </w:r>
          </w:p>
          <w:p w:rsidR="00143569" w:rsidRDefault="0014356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2664" w:type="dxa"/>
          </w:tcPr>
          <w:p w:rsidR="00CD39D7" w:rsidRDefault="00CD39D7">
            <w:pPr>
              <w:spacing w:line="400" w:lineRule="exact"/>
              <w:rPr>
                <w:rFonts w:ascii="仿宋_GB2312"/>
                <w:sz w:val="24"/>
              </w:rPr>
            </w:pPr>
          </w:p>
          <w:p w:rsidR="00143569" w:rsidRDefault="00143569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完成时间：</w:t>
            </w:r>
          </w:p>
        </w:tc>
      </w:tr>
      <w:tr w:rsidR="00143569">
        <w:trPr>
          <w:trHeight w:val="1104"/>
        </w:trPr>
        <w:tc>
          <w:tcPr>
            <w:tcW w:w="3160" w:type="dxa"/>
          </w:tcPr>
          <w:p w:rsidR="00143569" w:rsidRDefault="00143569" w:rsidP="0033679D">
            <w:pPr>
              <w:spacing w:line="400" w:lineRule="exact"/>
              <w:ind w:firstLineChars="250" w:firstLine="600"/>
              <w:rPr>
                <w:rFonts w:ascii="仿宋_GB2312"/>
                <w:sz w:val="24"/>
              </w:rPr>
            </w:pPr>
          </w:p>
          <w:p w:rsidR="00143569" w:rsidRDefault="00143569" w:rsidP="0033679D">
            <w:pPr>
              <w:spacing w:line="400" w:lineRule="exact"/>
              <w:ind w:firstLineChars="250" w:firstLine="60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5900" w:type="dxa"/>
            <w:gridSpan w:val="2"/>
          </w:tcPr>
          <w:p w:rsidR="00143569" w:rsidRDefault="00143569"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</w:tbl>
    <w:p w:rsidR="00143569" w:rsidRDefault="00143569" w:rsidP="0033679D">
      <w:pPr>
        <w:spacing w:line="320" w:lineRule="exact"/>
        <w:ind w:firstLineChars="200"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说明：</w:t>
      </w:r>
    </w:p>
    <w:p w:rsidR="00143569" w:rsidRDefault="00143569" w:rsidP="0033679D">
      <w:pPr>
        <w:spacing w:line="320" w:lineRule="exact"/>
        <w:ind w:firstLineChars="200" w:firstLine="480"/>
        <w:rPr>
          <w:rFonts w:ascii="仿宋_GB2312"/>
          <w:sz w:val="24"/>
        </w:rPr>
      </w:pPr>
      <w:r>
        <w:rPr>
          <w:rFonts w:ascii="仿宋_GB2312"/>
          <w:sz w:val="24"/>
        </w:rPr>
        <w:t xml:space="preserve">1. </w:t>
      </w:r>
      <w:r>
        <w:rPr>
          <w:rFonts w:ascii="仿宋_GB2312" w:hint="eastAsia"/>
          <w:sz w:val="24"/>
        </w:rPr>
        <w:t>责任单位向</w:t>
      </w:r>
      <w:r w:rsidR="00EA0AAE" w:rsidRPr="00EA0AAE">
        <w:rPr>
          <w:rFonts w:ascii="仿宋_GB2312" w:hint="eastAsia"/>
          <w:sz w:val="24"/>
        </w:rPr>
        <w:t>“高等教育质量监测国家数据平台”202</w:t>
      </w:r>
      <w:r w:rsidR="007E4F62">
        <w:rPr>
          <w:rFonts w:ascii="仿宋_GB2312" w:hint="eastAsia"/>
          <w:sz w:val="24"/>
        </w:rPr>
        <w:t>1</w:t>
      </w:r>
      <w:r w:rsidR="00EA0AAE" w:rsidRPr="00EA0AAE">
        <w:rPr>
          <w:rFonts w:ascii="仿宋_GB2312" w:hint="eastAsia"/>
          <w:sz w:val="24"/>
        </w:rPr>
        <w:t>年监测数据</w:t>
      </w:r>
      <w:r>
        <w:rPr>
          <w:rFonts w:ascii="仿宋_GB2312" w:hint="eastAsia"/>
          <w:sz w:val="24"/>
        </w:rPr>
        <w:t>本科教学基本状态数据采集</w:t>
      </w:r>
      <w:r w:rsidR="005E772B">
        <w:rPr>
          <w:rFonts w:ascii="仿宋_GB2312" w:hint="eastAsia"/>
          <w:sz w:val="24"/>
        </w:rPr>
        <w:t>工作</w:t>
      </w:r>
      <w:r>
        <w:rPr>
          <w:rFonts w:ascii="仿宋_GB2312" w:hint="eastAsia"/>
          <w:sz w:val="24"/>
        </w:rPr>
        <w:t>领导小组提交采集数据纸质版时须附有本表</w:t>
      </w:r>
      <w:r w:rsidR="00CA26BB">
        <w:rPr>
          <w:rFonts w:ascii="仿宋_GB2312" w:hint="eastAsia"/>
          <w:sz w:val="24"/>
        </w:rPr>
        <w:t>（一式两份）</w:t>
      </w:r>
      <w:r>
        <w:rPr>
          <w:rFonts w:ascii="仿宋_GB2312" w:hint="eastAsia"/>
          <w:sz w:val="24"/>
        </w:rPr>
        <w:t>。</w:t>
      </w:r>
    </w:p>
    <w:p w:rsidR="00143569" w:rsidRDefault="00143569" w:rsidP="0033679D">
      <w:pPr>
        <w:spacing w:line="320" w:lineRule="exact"/>
        <w:ind w:firstLineChars="200" w:firstLine="480"/>
        <w:rPr>
          <w:rFonts w:ascii="仿宋_GB2312"/>
          <w:sz w:val="24"/>
        </w:rPr>
      </w:pPr>
      <w:r>
        <w:rPr>
          <w:rFonts w:ascii="仿宋_GB2312"/>
          <w:sz w:val="24"/>
        </w:rPr>
        <w:t xml:space="preserve">2. </w:t>
      </w:r>
      <w:r>
        <w:rPr>
          <w:rFonts w:ascii="仿宋_GB2312" w:hint="eastAsia"/>
          <w:sz w:val="24"/>
        </w:rPr>
        <w:t>部分责任单位向</w:t>
      </w:r>
      <w:r w:rsidR="00EA0AAE" w:rsidRPr="00EA0AAE">
        <w:rPr>
          <w:rFonts w:ascii="仿宋_GB2312" w:hint="eastAsia"/>
          <w:sz w:val="24"/>
        </w:rPr>
        <w:t>“高等教育质量监测国家数据平台”202</w:t>
      </w:r>
      <w:r w:rsidR="007E4F62">
        <w:rPr>
          <w:rFonts w:ascii="仿宋_GB2312" w:hint="eastAsia"/>
          <w:sz w:val="24"/>
        </w:rPr>
        <w:t>1</w:t>
      </w:r>
      <w:r w:rsidR="00EA0AAE" w:rsidRPr="00EA0AAE">
        <w:rPr>
          <w:rFonts w:ascii="仿宋_GB2312" w:hint="eastAsia"/>
          <w:sz w:val="24"/>
        </w:rPr>
        <w:t>年监测数据</w:t>
      </w:r>
      <w:r w:rsidR="00EA0AAE">
        <w:rPr>
          <w:rFonts w:ascii="仿宋_GB2312" w:hint="eastAsia"/>
          <w:sz w:val="24"/>
        </w:rPr>
        <w:t>本科教学基本状态数据采集</w:t>
      </w:r>
      <w:r w:rsidR="005E772B">
        <w:rPr>
          <w:rFonts w:ascii="仿宋_GB2312" w:hint="eastAsia"/>
          <w:sz w:val="24"/>
        </w:rPr>
        <w:t>工作</w:t>
      </w:r>
      <w:r>
        <w:rPr>
          <w:rFonts w:ascii="仿宋_GB2312" w:hint="eastAsia"/>
          <w:sz w:val="24"/>
        </w:rPr>
        <w:t>领导小组提交教学基本条件等汇总数据时须附有支撑材料。</w:t>
      </w:r>
    </w:p>
    <w:p w:rsidR="00143569" w:rsidRDefault="00143569" w:rsidP="00EA0AAE">
      <w:pPr>
        <w:spacing w:line="320" w:lineRule="exact"/>
        <w:ind w:firstLineChars="200" w:firstLine="480"/>
        <w:rPr>
          <w:rFonts w:ascii="仿宋_GB2312"/>
          <w:sz w:val="24"/>
        </w:rPr>
      </w:pPr>
      <w:r>
        <w:rPr>
          <w:rFonts w:ascii="仿宋_GB2312"/>
          <w:sz w:val="24"/>
        </w:rPr>
        <w:t xml:space="preserve">3. </w:t>
      </w:r>
      <w:r>
        <w:rPr>
          <w:rFonts w:ascii="仿宋_GB2312" w:hint="eastAsia"/>
          <w:sz w:val="24"/>
        </w:rPr>
        <w:t>表格中各数据监控环节须按顺序完成。</w:t>
      </w:r>
    </w:p>
    <w:p w:rsidR="00143569" w:rsidRPr="00EA0AAE" w:rsidRDefault="00143569">
      <w:pPr>
        <w:spacing w:line="320" w:lineRule="exact"/>
        <w:jc w:val="right"/>
        <w:rPr>
          <w:sz w:val="24"/>
        </w:rPr>
      </w:pPr>
    </w:p>
    <w:sectPr w:rsidR="00143569" w:rsidRPr="00EA0AAE" w:rsidSect="00B51E71">
      <w:footerReference w:type="even" r:id="rId7"/>
      <w:footerReference w:type="default" r:id="rId8"/>
      <w:pgSz w:w="11906" w:h="16838"/>
      <w:pgMar w:top="1304" w:right="1474" w:bottom="1304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4A" w:rsidRDefault="002E084A">
      <w:r>
        <w:separator/>
      </w:r>
    </w:p>
  </w:endnote>
  <w:endnote w:type="continuationSeparator" w:id="0">
    <w:p w:rsidR="002E084A" w:rsidRDefault="002E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69" w:rsidRDefault="00745CE8">
    <w:pPr>
      <w:pStyle w:val="a6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 w:rsidR="0014356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43569" w:rsidRDefault="0014356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69" w:rsidRDefault="00745CE8">
    <w:pPr>
      <w:pStyle w:val="a6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 w:rsidR="0014356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F215C">
      <w:rPr>
        <w:rStyle w:val="a3"/>
        <w:noProof/>
      </w:rPr>
      <w:t>- 1 -</w:t>
    </w:r>
    <w:r>
      <w:rPr>
        <w:rStyle w:val="a3"/>
      </w:rPr>
      <w:fldChar w:fldCharType="end"/>
    </w:r>
  </w:p>
  <w:p w:rsidR="00143569" w:rsidRDefault="0014356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4A" w:rsidRDefault="002E084A">
      <w:r>
        <w:separator/>
      </w:r>
    </w:p>
  </w:footnote>
  <w:footnote w:type="continuationSeparator" w:id="0">
    <w:p w:rsidR="002E084A" w:rsidRDefault="002E0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E80"/>
    <w:rsid w:val="000005CF"/>
    <w:rsid w:val="00007316"/>
    <w:rsid w:val="000110D1"/>
    <w:rsid w:val="00011561"/>
    <w:rsid w:val="00014E06"/>
    <w:rsid w:val="000158BD"/>
    <w:rsid w:val="00020AE6"/>
    <w:rsid w:val="00020BC4"/>
    <w:rsid w:val="00020E2D"/>
    <w:rsid w:val="00024A24"/>
    <w:rsid w:val="00024CD6"/>
    <w:rsid w:val="000357C8"/>
    <w:rsid w:val="000462BD"/>
    <w:rsid w:val="00051902"/>
    <w:rsid w:val="0005250E"/>
    <w:rsid w:val="00054366"/>
    <w:rsid w:val="000616B0"/>
    <w:rsid w:val="000665AD"/>
    <w:rsid w:val="00070B3B"/>
    <w:rsid w:val="00071D2F"/>
    <w:rsid w:val="00082EE7"/>
    <w:rsid w:val="0008303D"/>
    <w:rsid w:val="000834EC"/>
    <w:rsid w:val="000839A8"/>
    <w:rsid w:val="00084F2A"/>
    <w:rsid w:val="00085660"/>
    <w:rsid w:val="00086DCD"/>
    <w:rsid w:val="000A1C17"/>
    <w:rsid w:val="000A4EF4"/>
    <w:rsid w:val="000B2515"/>
    <w:rsid w:val="000D5F91"/>
    <w:rsid w:val="000E1439"/>
    <w:rsid w:val="000E33BB"/>
    <w:rsid w:val="000F1F94"/>
    <w:rsid w:val="000F4CC0"/>
    <w:rsid w:val="000F7B63"/>
    <w:rsid w:val="00111614"/>
    <w:rsid w:val="001275C2"/>
    <w:rsid w:val="00143398"/>
    <w:rsid w:val="00143569"/>
    <w:rsid w:val="00154646"/>
    <w:rsid w:val="0017162C"/>
    <w:rsid w:val="001722EC"/>
    <w:rsid w:val="00176AD4"/>
    <w:rsid w:val="00187088"/>
    <w:rsid w:val="001910A6"/>
    <w:rsid w:val="001914FE"/>
    <w:rsid w:val="00193B19"/>
    <w:rsid w:val="00195B70"/>
    <w:rsid w:val="001A3152"/>
    <w:rsid w:val="001B0AC3"/>
    <w:rsid w:val="001D4C64"/>
    <w:rsid w:val="001E193E"/>
    <w:rsid w:val="001E2640"/>
    <w:rsid w:val="0021300F"/>
    <w:rsid w:val="0021643D"/>
    <w:rsid w:val="0022174B"/>
    <w:rsid w:val="00222BE4"/>
    <w:rsid w:val="00224C6C"/>
    <w:rsid w:val="00227B01"/>
    <w:rsid w:val="0025302F"/>
    <w:rsid w:val="00271EBC"/>
    <w:rsid w:val="00280693"/>
    <w:rsid w:val="002875A0"/>
    <w:rsid w:val="00290E5E"/>
    <w:rsid w:val="00294B10"/>
    <w:rsid w:val="002C1AF0"/>
    <w:rsid w:val="002C4D2D"/>
    <w:rsid w:val="002E084A"/>
    <w:rsid w:val="002E095D"/>
    <w:rsid w:val="002E1D9B"/>
    <w:rsid w:val="002E325C"/>
    <w:rsid w:val="003037D6"/>
    <w:rsid w:val="003106EE"/>
    <w:rsid w:val="003148FC"/>
    <w:rsid w:val="003256C6"/>
    <w:rsid w:val="0033679D"/>
    <w:rsid w:val="003367E8"/>
    <w:rsid w:val="00344A7A"/>
    <w:rsid w:val="0039237B"/>
    <w:rsid w:val="003A110B"/>
    <w:rsid w:val="003C1FEB"/>
    <w:rsid w:val="003C3569"/>
    <w:rsid w:val="003C5938"/>
    <w:rsid w:val="003C7FCF"/>
    <w:rsid w:val="003D393F"/>
    <w:rsid w:val="003D6E6F"/>
    <w:rsid w:val="003E5EBE"/>
    <w:rsid w:val="00400695"/>
    <w:rsid w:val="00417E03"/>
    <w:rsid w:val="00431420"/>
    <w:rsid w:val="004615DA"/>
    <w:rsid w:val="00462DB3"/>
    <w:rsid w:val="004824AF"/>
    <w:rsid w:val="004A1281"/>
    <w:rsid w:val="004A1AAB"/>
    <w:rsid w:val="004A5504"/>
    <w:rsid w:val="004A552D"/>
    <w:rsid w:val="004B2188"/>
    <w:rsid w:val="004C3BA3"/>
    <w:rsid w:val="004C5A77"/>
    <w:rsid w:val="004C5E24"/>
    <w:rsid w:val="004D4CED"/>
    <w:rsid w:val="004D569D"/>
    <w:rsid w:val="004E0487"/>
    <w:rsid w:val="0050724D"/>
    <w:rsid w:val="00515F00"/>
    <w:rsid w:val="00516C77"/>
    <w:rsid w:val="005174E7"/>
    <w:rsid w:val="005303BA"/>
    <w:rsid w:val="005358B7"/>
    <w:rsid w:val="00535AF9"/>
    <w:rsid w:val="005511C6"/>
    <w:rsid w:val="00555A2A"/>
    <w:rsid w:val="005802B8"/>
    <w:rsid w:val="00596EB6"/>
    <w:rsid w:val="005A193E"/>
    <w:rsid w:val="005C6C37"/>
    <w:rsid w:val="005D1873"/>
    <w:rsid w:val="005D1EAD"/>
    <w:rsid w:val="005D5CDA"/>
    <w:rsid w:val="005D7AE2"/>
    <w:rsid w:val="005E3A44"/>
    <w:rsid w:val="005E6C44"/>
    <w:rsid w:val="005E772B"/>
    <w:rsid w:val="005F215C"/>
    <w:rsid w:val="006049EB"/>
    <w:rsid w:val="00614071"/>
    <w:rsid w:val="006149EB"/>
    <w:rsid w:val="006515C0"/>
    <w:rsid w:val="0065629F"/>
    <w:rsid w:val="00663829"/>
    <w:rsid w:val="00664EBF"/>
    <w:rsid w:val="00665374"/>
    <w:rsid w:val="00667FE4"/>
    <w:rsid w:val="00676123"/>
    <w:rsid w:val="006811EE"/>
    <w:rsid w:val="006824C7"/>
    <w:rsid w:val="00692EC8"/>
    <w:rsid w:val="00693472"/>
    <w:rsid w:val="006C0CA6"/>
    <w:rsid w:val="006E64B6"/>
    <w:rsid w:val="006F3245"/>
    <w:rsid w:val="0070689F"/>
    <w:rsid w:val="00716422"/>
    <w:rsid w:val="0072555C"/>
    <w:rsid w:val="0073067F"/>
    <w:rsid w:val="007361BC"/>
    <w:rsid w:val="007432D0"/>
    <w:rsid w:val="00745CE8"/>
    <w:rsid w:val="007571A3"/>
    <w:rsid w:val="0076654A"/>
    <w:rsid w:val="0077064B"/>
    <w:rsid w:val="00775B37"/>
    <w:rsid w:val="00776BB7"/>
    <w:rsid w:val="0077785B"/>
    <w:rsid w:val="0078131C"/>
    <w:rsid w:val="0078525D"/>
    <w:rsid w:val="007907FF"/>
    <w:rsid w:val="007A457B"/>
    <w:rsid w:val="007C08DF"/>
    <w:rsid w:val="007E4F62"/>
    <w:rsid w:val="007E5A8E"/>
    <w:rsid w:val="007E5B0C"/>
    <w:rsid w:val="007F0118"/>
    <w:rsid w:val="00811A21"/>
    <w:rsid w:val="0082252A"/>
    <w:rsid w:val="00840573"/>
    <w:rsid w:val="00866625"/>
    <w:rsid w:val="00876FFA"/>
    <w:rsid w:val="00886D3D"/>
    <w:rsid w:val="0089236A"/>
    <w:rsid w:val="00893AD0"/>
    <w:rsid w:val="008966CC"/>
    <w:rsid w:val="008A6EB5"/>
    <w:rsid w:val="008B27D6"/>
    <w:rsid w:val="008B3EEC"/>
    <w:rsid w:val="008C1B8A"/>
    <w:rsid w:val="008D05CA"/>
    <w:rsid w:val="008E0686"/>
    <w:rsid w:val="008E1AD0"/>
    <w:rsid w:val="008E4A70"/>
    <w:rsid w:val="008F04C1"/>
    <w:rsid w:val="00904438"/>
    <w:rsid w:val="00904C14"/>
    <w:rsid w:val="009063A1"/>
    <w:rsid w:val="0091216D"/>
    <w:rsid w:val="00924DC9"/>
    <w:rsid w:val="00926E0A"/>
    <w:rsid w:val="009331D7"/>
    <w:rsid w:val="00936BE6"/>
    <w:rsid w:val="0094182E"/>
    <w:rsid w:val="009575CD"/>
    <w:rsid w:val="0096405A"/>
    <w:rsid w:val="00967A75"/>
    <w:rsid w:val="00967B75"/>
    <w:rsid w:val="00972A57"/>
    <w:rsid w:val="00975D13"/>
    <w:rsid w:val="00977A57"/>
    <w:rsid w:val="009A71DF"/>
    <w:rsid w:val="009B37EE"/>
    <w:rsid w:val="009C14C6"/>
    <w:rsid w:val="009C4799"/>
    <w:rsid w:val="009D0B6A"/>
    <w:rsid w:val="009D23F3"/>
    <w:rsid w:val="009D440C"/>
    <w:rsid w:val="009D4639"/>
    <w:rsid w:val="009F2371"/>
    <w:rsid w:val="009F2E9A"/>
    <w:rsid w:val="009F38F8"/>
    <w:rsid w:val="009F6308"/>
    <w:rsid w:val="00A0213E"/>
    <w:rsid w:val="00A154D8"/>
    <w:rsid w:val="00A42FEA"/>
    <w:rsid w:val="00A5348A"/>
    <w:rsid w:val="00A66DA8"/>
    <w:rsid w:val="00A66F6D"/>
    <w:rsid w:val="00A73755"/>
    <w:rsid w:val="00A76E44"/>
    <w:rsid w:val="00A84825"/>
    <w:rsid w:val="00A975C2"/>
    <w:rsid w:val="00AA7271"/>
    <w:rsid w:val="00AB0C30"/>
    <w:rsid w:val="00AC2A44"/>
    <w:rsid w:val="00AC51C5"/>
    <w:rsid w:val="00B025DA"/>
    <w:rsid w:val="00B223CA"/>
    <w:rsid w:val="00B40838"/>
    <w:rsid w:val="00B44F3A"/>
    <w:rsid w:val="00B47C22"/>
    <w:rsid w:val="00B51E71"/>
    <w:rsid w:val="00B61A15"/>
    <w:rsid w:val="00B7319C"/>
    <w:rsid w:val="00B769BF"/>
    <w:rsid w:val="00B840B4"/>
    <w:rsid w:val="00BC3005"/>
    <w:rsid w:val="00BC3FED"/>
    <w:rsid w:val="00BD2437"/>
    <w:rsid w:val="00BD3BF7"/>
    <w:rsid w:val="00BD4DF5"/>
    <w:rsid w:val="00BE4854"/>
    <w:rsid w:val="00BF6D7B"/>
    <w:rsid w:val="00C11587"/>
    <w:rsid w:val="00C24B9C"/>
    <w:rsid w:val="00C536E4"/>
    <w:rsid w:val="00C53CAD"/>
    <w:rsid w:val="00C865E3"/>
    <w:rsid w:val="00C91042"/>
    <w:rsid w:val="00C941D6"/>
    <w:rsid w:val="00C97591"/>
    <w:rsid w:val="00CA26BB"/>
    <w:rsid w:val="00CA581D"/>
    <w:rsid w:val="00CB1DB6"/>
    <w:rsid w:val="00CC13EC"/>
    <w:rsid w:val="00CC1E80"/>
    <w:rsid w:val="00CD3809"/>
    <w:rsid w:val="00CD39D7"/>
    <w:rsid w:val="00CD50AB"/>
    <w:rsid w:val="00CE1419"/>
    <w:rsid w:val="00CE60A6"/>
    <w:rsid w:val="00CF5A06"/>
    <w:rsid w:val="00D11962"/>
    <w:rsid w:val="00D11F0A"/>
    <w:rsid w:val="00D3064C"/>
    <w:rsid w:val="00D32797"/>
    <w:rsid w:val="00D44478"/>
    <w:rsid w:val="00D4515C"/>
    <w:rsid w:val="00D54959"/>
    <w:rsid w:val="00D6673D"/>
    <w:rsid w:val="00D67DED"/>
    <w:rsid w:val="00D7472D"/>
    <w:rsid w:val="00D9204C"/>
    <w:rsid w:val="00DA1023"/>
    <w:rsid w:val="00DC3185"/>
    <w:rsid w:val="00E05399"/>
    <w:rsid w:val="00E07658"/>
    <w:rsid w:val="00E076E3"/>
    <w:rsid w:val="00E11593"/>
    <w:rsid w:val="00E14DB5"/>
    <w:rsid w:val="00E31850"/>
    <w:rsid w:val="00E3647F"/>
    <w:rsid w:val="00E400EF"/>
    <w:rsid w:val="00E4061A"/>
    <w:rsid w:val="00E425A9"/>
    <w:rsid w:val="00E67930"/>
    <w:rsid w:val="00E67BC3"/>
    <w:rsid w:val="00E7099E"/>
    <w:rsid w:val="00E70FD3"/>
    <w:rsid w:val="00E72CB1"/>
    <w:rsid w:val="00E83A59"/>
    <w:rsid w:val="00E92607"/>
    <w:rsid w:val="00E950C5"/>
    <w:rsid w:val="00E95F2F"/>
    <w:rsid w:val="00E970AF"/>
    <w:rsid w:val="00EA0AAE"/>
    <w:rsid w:val="00EA0C88"/>
    <w:rsid w:val="00EB191A"/>
    <w:rsid w:val="00EB64A7"/>
    <w:rsid w:val="00ED0BC5"/>
    <w:rsid w:val="00ED7515"/>
    <w:rsid w:val="00ED7CC6"/>
    <w:rsid w:val="00EF1E80"/>
    <w:rsid w:val="00F01A75"/>
    <w:rsid w:val="00F04CCE"/>
    <w:rsid w:val="00F07A3E"/>
    <w:rsid w:val="00F15DFD"/>
    <w:rsid w:val="00F40C22"/>
    <w:rsid w:val="00F41948"/>
    <w:rsid w:val="00F56BCB"/>
    <w:rsid w:val="00F7426A"/>
    <w:rsid w:val="00F83A20"/>
    <w:rsid w:val="00F967D5"/>
    <w:rsid w:val="00FA082F"/>
    <w:rsid w:val="00FA292F"/>
    <w:rsid w:val="00FA3BBF"/>
    <w:rsid w:val="00FB021D"/>
    <w:rsid w:val="00FB65EA"/>
    <w:rsid w:val="00FD2453"/>
    <w:rsid w:val="00FD25F6"/>
    <w:rsid w:val="00FD3635"/>
    <w:rsid w:val="00FE7386"/>
    <w:rsid w:val="00FF6B34"/>
    <w:rsid w:val="2A2E51A2"/>
    <w:rsid w:val="2AFD7B85"/>
    <w:rsid w:val="65023887"/>
    <w:rsid w:val="6803234F"/>
    <w:rsid w:val="74A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CF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3C7FCF"/>
    <w:rPr>
      <w:rFonts w:cs="Times New Roman"/>
    </w:rPr>
  </w:style>
  <w:style w:type="character" w:customStyle="1" w:styleId="Char">
    <w:name w:val="页眉 Char"/>
    <w:link w:val="a4"/>
    <w:uiPriority w:val="99"/>
    <w:locked/>
    <w:rsid w:val="003C7FCF"/>
    <w:rPr>
      <w:rFonts w:eastAsia="仿宋_GB2312"/>
      <w:kern w:val="2"/>
      <w:sz w:val="18"/>
    </w:rPr>
  </w:style>
  <w:style w:type="paragraph" w:styleId="a4">
    <w:name w:val="header"/>
    <w:basedOn w:val="a"/>
    <w:link w:val="Char"/>
    <w:uiPriority w:val="99"/>
    <w:rsid w:val="003C7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1">
    <w:name w:val="Header Char1"/>
    <w:uiPriority w:val="99"/>
    <w:semiHidden/>
    <w:rsid w:val="00114B67"/>
    <w:rPr>
      <w:rFonts w:eastAsia="仿宋_GB2312"/>
      <w:sz w:val="18"/>
      <w:szCs w:val="18"/>
    </w:rPr>
  </w:style>
  <w:style w:type="paragraph" w:styleId="a5">
    <w:name w:val="Date"/>
    <w:basedOn w:val="a"/>
    <w:next w:val="a"/>
    <w:link w:val="Char0"/>
    <w:uiPriority w:val="99"/>
    <w:rsid w:val="003C7FCF"/>
    <w:pPr>
      <w:ind w:leftChars="2500" w:left="100"/>
    </w:pPr>
    <w:rPr>
      <w:kern w:val="0"/>
    </w:rPr>
  </w:style>
  <w:style w:type="character" w:customStyle="1" w:styleId="Char0">
    <w:name w:val="日期 Char"/>
    <w:link w:val="a5"/>
    <w:uiPriority w:val="99"/>
    <w:semiHidden/>
    <w:rsid w:val="00114B67"/>
    <w:rPr>
      <w:rFonts w:eastAsia="仿宋_GB2312"/>
      <w:sz w:val="32"/>
      <w:szCs w:val="24"/>
    </w:rPr>
  </w:style>
  <w:style w:type="paragraph" w:styleId="a6">
    <w:name w:val="footer"/>
    <w:basedOn w:val="a"/>
    <w:link w:val="Char1"/>
    <w:uiPriority w:val="99"/>
    <w:rsid w:val="003C7FC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6"/>
    <w:uiPriority w:val="99"/>
    <w:semiHidden/>
    <w:rsid w:val="00114B67"/>
    <w:rPr>
      <w:rFonts w:eastAsia="仿宋_GB2312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3C7FCF"/>
    <w:rPr>
      <w:kern w:val="0"/>
      <w:sz w:val="0"/>
      <w:szCs w:val="0"/>
    </w:rPr>
  </w:style>
  <w:style w:type="character" w:customStyle="1" w:styleId="Char2">
    <w:name w:val="批注框文本 Char"/>
    <w:link w:val="a7"/>
    <w:uiPriority w:val="99"/>
    <w:semiHidden/>
    <w:rsid w:val="00114B67"/>
    <w:rPr>
      <w:rFonts w:eastAsia="仿宋_GB2312"/>
      <w:sz w:val="0"/>
      <w:szCs w:val="0"/>
    </w:rPr>
  </w:style>
  <w:style w:type="character" w:styleId="a8">
    <w:name w:val="Hyperlink"/>
    <w:uiPriority w:val="99"/>
    <w:rsid w:val="008B3EE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滨州医学院关于开展</dc:title>
  <dc:subject/>
  <dc:creator>教务处</dc:creator>
  <cp:keywords/>
  <dc:description/>
  <cp:lastModifiedBy>AutoBVT</cp:lastModifiedBy>
  <cp:revision>50</cp:revision>
  <cp:lastPrinted>2021-10-08T06:50:00Z</cp:lastPrinted>
  <dcterms:created xsi:type="dcterms:W3CDTF">2017-08-29T09:51:00Z</dcterms:created>
  <dcterms:modified xsi:type="dcterms:W3CDTF">2022-10-06T03:19:00Z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